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Ю.Б.,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секретаре судебных заседаний Бекетовой Н.И.,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1138-2803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лице филиала «Сочинский» к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Андрею Михайловичу о взыскании задолженности по оплате коммунальной услуги по обращению с твердыми коммунальными отходами,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стец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>» в лице филиала «Сочинский»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обратился с иском к ответчику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 с требованиями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 по оплате коммунальной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мотивированы тем, что приказом Министерства топливно-энергетического комплекса и жилищно-коммунального хозяйства Краснодарского края от 15.01.2019 №6 статус регионального оператора по обращению с твердыми коммунальными отходами по </w:t>
      </w:r>
      <w:r>
        <w:rPr>
          <w:rFonts w:ascii="Times New Roman" w:eastAsia="Times New Roman" w:hAnsi="Times New Roman" w:cs="Times New Roman"/>
          <w:sz w:val="26"/>
          <w:szCs w:val="26"/>
        </w:rPr>
        <w:t>Белореченской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зоне деятельности, к которой относится муниципальное образование городской округ-курорт Сочи, присвоен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Договор на оказание услуг по обращению с ТКО является публичным для регионального оператора, и он не вправе отказать в заключении договора на оказание услуг по обращению с ТКО.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известил потенциальных потребителей о необходимости заключения договора на оказание услуг по обращению с ТКО путем опубликования информации на официальном сайте регионального оператора, а также посредством опубликования предложения </w:t>
      </w:r>
      <w:r>
        <w:rPr>
          <w:rFonts w:ascii="Times New Roman" w:eastAsia="Times New Roman" w:hAnsi="Times New Roman" w:cs="Times New Roman"/>
          <w:sz w:val="26"/>
          <w:szCs w:val="26"/>
        </w:rPr>
        <w:t>о заключении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в газете «Новости Сочи» №5(3391)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№6(3392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18.01.2020.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требований постановления Правительства РФ от 06.05.2011 №354 «О предоставлении коммунальных услуг собственникам и пользователям помещений в многоквартирных домах и жилых домов» договор на оказание услуг по обращению с ТКО считается заключенным после совершения потребителем коммунальной услуги конклюдентных действий. Региональный оператор является единственным поставщиком услуги по обращению с ТКО на 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>Белореченской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зоны деятельности, которую входят Апшеронский, </w:t>
      </w:r>
      <w:r>
        <w:rPr>
          <w:rFonts w:ascii="Times New Roman" w:eastAsia="Times New Roman" w:hAnsi="Times New Roman" w:cs="Times New Roman"/>
          <w:sz w:val="26"/>
          <w:szCs w:val="26"/>
        </w:rPr>
        <w:t>Белореченский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Туапсинский районы, города Горячий Ключ и Сочи. Услуга по обращению с ТКО оказывается всем без исключения. Ввиду неисполнения на протяжении длительного времени ответчиком обязательств по оплате за оказанные услуги по обращению с ТКО по лицевому счету №54125490 </w:t>
      </w:r>
      <w:r>
        <w:rPr>
          <w:rStyle w:val="cat-UserDefinedgrp-88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истец обратился в мировой суд с заявлением о вынесении судебного приказа о взыскании задолженности за оказанные услуги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 15.12.2025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 судебный приказ по делу №2-3951-2803/2025 о взыскании с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АМ.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адолженности в размере 17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914, 68 руб., пени размере 1766, 92 руб. и расходов по оплате государственной пошлины. 22.12.2025 судебный приказ отменен на основании возражений ответчика. Региональный оператор оказал ответчику услугу по обращению с твердыми коммунальными отходами за период с 01.01.2020 по 30.11.2025, потребитель ненадлежащим образом выполнил свои обязательства по оплате коммунальной услуги по обращению с ТКО. На территории Краснодарского края норматив накопления ТКО </w:t>
      </w:r>
      <w:r>
        <w:rPr>
          <w:rFonts w:ascii="Times New Roman" w:eastAsia="Times New Roman" w:hAnsi="Times New Roman" w:cs="Times New Roman"/>
          <w:sz w:val="26"/>
          <w:szCs w:val="26"/>
        </w:rPr>
        <w:t>определяется в соответствии с поста</w:t>
      </w:r>
      <w:r>
        <w:rPr>
          <w:rFonts w:ascii="Times New Roman" w:eastAsia="Times New Roman" w:hAnsi="Times New Roman" w:cs="Times New Roman"/>
          <w:sz w:val="26"/>
          <w:szCs w:val="26"/>
        </w:rPr>
        <w:t>новлением главы администрации (г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убернатора) Краснодарского края от 19.08.2019 №528 «О внесении изменений в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главы администрации (губернатора) Краснодарского края от 17.03.2019 №175 «Об утверждении нормативов накопления твердых коммунальных отходов в Краснодарском крае». Для собственников жилых помещений норматив накопления ТКО определен в размере 3,71 м3 в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расчете на 1 человека. Тарифы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оказание услуг по обращению с ТКО утверждаются приказом Региональной энергетической комиссии. По состоянию на 30.11.2025 задолженность ответчика по оказанным услугам по обращению с ТКО составляет 17914,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68 рублей.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этой связи истец просит взыскать с ответчика в свою пользу задолженность за коммунальную услугу в общем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914,68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за период с 01.01.2020 по 30.11.2025,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пени в размере 1908,21 рублей за период с 30.09.2023 по 30.11.2025,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расходы по оплате государственной пошлины в размере 4000 рублей.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истца в судебное заседание не явился, </w:t>
      </w:r>
      <w:r>
        <w:rPr>
          <w:rFonts w:ascii="Times New Roman" w:eastAsia="Times New Roman" w:hAnsi="Times New Roman" w:cs="Times New Roman"/>
          <w:sz w:val="26"/>
          <w:szCs w:val="26"/>
        </w:rPr>
        <w:t>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ст.167 ГПК РФ, счел возможным рассмотреть дело в отсутствии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истца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 с иском не согласился,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дал пояснения согласно возражение на исковое заявление,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между ним и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 на оказание услуги не заключался. Истец не предоставил актов приёма-передачи услуги, подтверждающих фактическое оказание услуги. Истец пропустил срок исковой давности. В расчетах использованы неверные данные, а именно, фактическое место жительства, адрес регистрации, место работы ответчика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не </w:t>
      </w:r>
      <w:r>
        <w:rPr>
          <w:rFonts w:ascii="Times New Roman" w:eastAsia="Times New Roman" w:hAnsi="Times New Roman" w:cs="Times New Roman"/>
          <w:sz w:val="26"/>
          <w:szCs w:val="26"/>
        </w:rPr>
        <w:t>г.Сочи</w:t>
      </w:r>
      <w:r>
        <w:rPr>
          <w:rFonts w:ascii="Times New Roman" w:eastAsia="Times New Roman" w:hAnsi="Times New Roman" w:cs="Times New Roman"/>
          <w:sz w:val="26"/>
          <w:szCs w:val="26"/>
        </w:rPr>
        <w:t>. В жилом помещении с 01.01.2020 по 30.11.2025 никто не был зарегистрирован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никто не проживал, жилое помещение приобретено ответчиком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ля проживания в нем на пенсии. </w:t>
      </w:r>
      <w:r>
        <w:rPr>
          <w:rFonts w:ascii="Times New Roman" w:eastAsia="Times New Roman" w:hAnsi="Times New Roman" w:cs="Times New Roman"/>
          <w:sz w:val="26"/>
          <w:szCs w:val="26"/>
        </w:rPr>
        <w:t>При временном, то есть более 5 полных календарных дней подряд отсутствии в жилом помещении потребителя услуги по обращению с ТКО осуществляется перерасчет размера платы за оказанную услугу по обращению с ТКО. Вместе с тем, истцом не реализована возможность пользования ответчиком указанной нормой, так как, на официальном сайте истца нет соответствующей информации. В этой связи просил в иске отказать.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ответчика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материалы гражданского дела, материалы дела №2-</w:t>
      </w:r>
      <w:r>
        <w:rPr>
          <w:rFonts w:ascii="Times New Roman" w:eastAsia="Times New Roman" w:hAnsi="Times New Roman" w:cs="Times New Roman"/>
          <w:sz w:val="26"/>
          <w:szCs w:val="26"/>
        </w:rPr>
        <w:t>3951-2803/2025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(приказное производство),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силу требований ч.3 ст.30 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илищного кодекса Российской Федерации (далее-ЖК РФ)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собственник жилого помещения </w:t>
      </w:r>
      <w:hyperlink r:id="rId4" w:anchor="/document/71375424/entry/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несет бремя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содержания данного помещения.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 ст.153 </w:t>
      </w:r>
      <w:r>
        <w:rPr>
          <w:rFonts w:ascii="Times New Roman" w:eastAsia="Times New Roman" w:hAnsi="Times New Roman" w:cs="Times New Roman"/>
          <w:sz w:val="26"/>
          <w:szCs w:val="26"/>
        </w:rPr>
        <w:t>ЖК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граждане и организации обязаны своевременно и полностью вносить плату за жилое помещение и коммунальные услуги.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п.5 ч.2 ст.153 ЖК РФ обязанность по внесению платы за жилое помещение и коммунальные услуги возникает у собственника помещения с момента возникновения права с</w:t>
      </w:r>
      <w:r>
        <w:rPr>
          <w:rFonts w:ascii="Times New Roman" w:eastAsia="Times New Roman" w:hAnsi="Times New Roman" w:cs="Times New Roman"/>
          <w:sz w:val="26"/>
          <w:szCs w:val="26"/>
        </w:rPr>
        <w:t>обственности на такое помещение.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ч.4 ст.154 ЖК РФ плата за коммунальные услуги включает в себя плату за обращение с твердыми коммунальными отходами.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ст.155 ЖК РФ (в редакции закона, действовавшего на дату возникновения правоотношений) плата за жилое помещение и коммунальные услуги вносится ежемесячно до десятого числа месяца, следующего за истекшим месяцем.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еиспользование собственниками помещений не является основанием невнесения платы за жилое помещение и коммунальные услуги. При временном отсутствии граждан внесение платы за отдельные виды коммунальных услуг, рассчитываемой исходя из </w:t>
      </w:r>
      <w:hyperlink r:id="rId4" w:anchor="/document/12147362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нормативов потребления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осуществляется с учетом перерасчета платежей за период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временного отсутствия граждан в </w:t>
      </w:r>
      <w:hyperlink r:id="rId4" w:anchor="/document/12186043/entry/10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порядке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в случаях, которые утверждаются Правительством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(ч.11 ст.155 ЖК РФ).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требований п.1 ст.24.6 Федерального закона от 24 июня 1998 года №89-ФЗ «Об отходах производства и потребления» (далее-Федеральный закон №89-ФЗ) обращение с твердыми коммунальными отходами обеспечивается региональными операторами.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п.1 ст.24.7 Федерального закона №89-ФЗ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п.2 ст.24.7 Федерального закона №89-ФЗ по договору оказания услуг по обращению с твердыми коммунальными отходами региональный оператор обязуется принимать твердые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услуги регионального оператора.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 (п.4 ст.24.7 Федерального закона №89-ФЗ).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06.05.2011 №354 утверждены </w:t>
      </w:r>
      <w:hyperlink r:id="rId5" w:anchor="/document/12186043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коммунальных услуг собственникам и пользователям помещений в многоквартирных домах и жилых домов (далее - Правила №354).</w:t>
      </w:r>
    </w:p>
    <w:p>
      <w:pPr>
        <w:spacing w:before="0" w:after="0"/>
        <w:ind w:right="2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п.8.17 Правил обращения с твердыми коммунальными отходами, утвержденных постановлением Правительства РФ от 12 ноября 2016 г. №1156 «</w:t>
      </w:r>
      <w:r>
        <w:rPr>
          <w:rFonts w:ascii="Times New Roman" w:eastAsia="Times New Roman" w:hAnsi="Times New Roman" w:cs="Times New Roman"/>
          <w:sz w:val="26"/>
          <w:szCs w:val="26"/>
        </w:rPr>
        <w:t>Об обращении с твердыми коммунальными отходами и внесении изменения в постановление Правительства Российск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Федерации от 25 августа 2008 </w:t>
      </w:r>
      <w:r>
        <w:rPr>
          <w:rFonts w:ascii="Times New Roman" w:eastAsia="Times New Roman" w:hAnsi="Times New Roman" w:cs="Times New Roman"/>
          <w:sz w:val="26"/>
          <w:szCs w:val="26"/>
        </w:rPr>
        <w:t>г. №641» (далее Правила №1156)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егиональный оператор в течение одного месяца со дня заключения соглашения извещает потенциальных потребителей о необходимости заключения в соответствии с </w:t>
      </w:r>
      <w:hyperlink r:id="rId4" w:anchor="/document/12112084/entry/24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«Об отходах производства и потребления» договора на оказание услуг по обращению с твердыми коммунальными отходами всеми доступными способами, в том числе путем размещения соответствующей информации на своем официальном сайте в информационно-телекоммуникационной сети «Интернет», а также в средствах массовой информации.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Региональный оператор в течение 10 рабочих дней со дня утверждения в установленном порядке единого тарифа на услугу регионального оператора на 1-й год действия соглашения размещает одновременно в печатных средствах массовой информации, установленных для официального опубликования правовых актов органов государственной власти субъекта Российской Федерации, и на своем официальном сайте в информационно-телекоммуникационной сети «Интернет» адресованное потребителям предложение о заключении договора на оказание услуг по обращению с твердыми коммунальными отходами и текст типового договора.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Потребитель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ля и документы в соответствии с </w:t>
      </w:r>
      <w:hyperlink r:id="rId4" w:anchor="/document/71540160/entry/108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пунктами 8.5 -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настоящих Правил. Заявка </w:t>
      </w:r>
      <w:r>
        <w:rPr>
          <w:rFonts w:ascii="Times New Roman" w:eastAsia="Times New Roman" w:hAnsi="Times New Roman" w:cs="Times New Roman"/>
          <w:sz w:val="26"/>
          <w:szCs w:val="26"/>
        </w:rPr>
        <w:t>потребителя рассматрива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ется в порядке, предусмотренном </w:t>
      </w:r>
      <w:hyperlink r:id="rId4" w:anchor="/document/71540160/entry/108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пунктами 8.8 -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8.16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настоящих Правил.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если потребитель не направил региональному оператору заявку потребителя и документы в соответствии с </w:t>
      </w:r>
      <w:hyperlink r:id="rId4" w:anchor="/document/71540160/entry/108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пунктами 8.5 - 8.7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Правил в указанный срок, договор на оказание услуг по обращению с твердыми коммунальными отходами считается заключенным на условиях 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«Интернет».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5" w:anchor="/document/12186043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Правилами №354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размера платы за коммунальную услугу по обращению с твердыми коммунальными отходами, предоставленную потребителю в жилом помещении, осуществляется, по общему правилу, по формуле 9.1 приложения №2 к Правилам (абзац первый пункта 148(30)), то есть исходя из количества граждан, постоянно или временно проживающих в конкретном жилом помещении, на основании нормативов накопления твердых коммунальных отходов и цены на данную коммунальную услугу, определенной в пределах утвержденного в установленном порядке единого тарифа на услугу регионального оператора по обращению с твердыми коммунальными отходами.</w:t>
      </w:r>
    </w:p>
    <w:p>
      <w:pPr>
        <w:spacing w:before="0" w:after="0"/>
        <w:ind w:right="2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Единые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тариф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услугу регионального оператора установлен приказами Региональной </w:t>
      </w:r>
      <w:r>
        <w:rPr>
          <w:rFonts w:ascii="Times New Roman" w:eastAsia="Times New Roman" w:hAnsi="Times New Roman" w:cs="Times New Roman"/>
          <w:sz w:val="26"/>
          <w:szCs w:val="26"/>
        </w:rPr>
        <w:t>энергетической комиссии: №43/2019-ТК от 30.12.2019 на период с 01.01.2020 по 30.09.2020 в размере 255,11 рублей; №8/2019-ТКО от 16.09.2020 на период с 01.10.2020 по 31.12.2020 в размере 255.11 рублей; № 35/2020-ТКО от 18.12.2020 на периоды с 01.01.2021 по 30.06.2021, с 01.07.2021 по 30.06.2022 в размере 248,56 рублей; тем же приказом на период с 01.07.2022 по 30.11.2022 в размере 253,6 рублей; №28/2022-ТКО от 17.11.2022 на период с 01.12.2022 по 31.12.2022в размере 253,6 рублей, №23/2023-ТКО от 19.12.2023 на период с 01.01.2024 по 31.12.2024 в размере 296,6 рублей и №32/2024-ТКО от 20.12.2024 на период с 01.01.2025 по 31.07.2025 в размере 296,6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 и установлено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региональным оператором по обращению с твердыми коммунальными отходами. Территорией деятельности регионального оператора 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 приказом Министерства топливно-энергетического комплекса и жилищно-коммунального хозяйства Краснодарского края №6 от 15.01.2019 «О присвоении статуса регионального оператора по 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ращению с твердыми коммунальными отходами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Белореченской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зоне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Белореченская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зона деятельности, которой также относится муниципальное образование городской округ –курорт Сочи.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Типовая форма договора оказания услуг по обращению с твердыми коммунальными отходами размещена в газете «Новости </w:t>
      </w:r>
      <w:r>
        <w:rPr>
          <w:rFonts w:ascii="Times New Roman" w:eastAsia="Times New Roman" w:hAnsi="Times New Roman" w:cs="Times New Roman"/>
          <w:sz w:val="26"/>
          <w:szCs w:val="26"/>
        </w:rPr>
        <w:t>Сочи» выпуск №5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3391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и №6</w:t>
      </w:r>
      <w:r>
        <w:rPr>
          <w:rFonts w:ascii="Times New Roman" w:eastAsia="Times New Roman" w:hAnsi="Times New Roman" w:cs="Times New Roman"/>
          <w:sz w:val="26"/>
          <w:szCs w:val="26"/>
        </w:rPr>
        <w:t>(3392) от 18.01.2020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Бадрызлов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 собственником </w:t>
      </w:r>
      <w:r>
        <w:rPr>
          <w:rFonts w:ascii="Times New Roman" w:eastAsia="Times New Roman" w:hAnsi="Times New Roman" w:cs="Times New Roman"/>
          <w:sz w:val="26"/>
          <w:szCs w:val="26"/>
        </w:rPr>
        <w:t>жилого помещения, 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88rplc-9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что не оспаривается ответчиком.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читыва</w:t>
      </w:r>
      <w:r>
        <w:rPr>
          <w:rFonts w:ascii="Times New Roman" w:eastAsia="Times New Roman" w:hAnsi="Times New Roman" w:cs="Times New Roman"/>
          <w:sz w:val="26"/>
          <w:szCs w:val="26"/>
        </w:rPr>
        <w:t>я положения п.8.17 Правил №1156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вопреки доводам ответчика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несмотря на отсутствие письменной формы,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между истцом и ответчиком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установленном порядке заключен договор по обращению с твердыми бытовыми отходами в отношении объекта, находящегося в </w:t>
      </w:r>
      <w:r>
        <w:rPr>
          <w:rFonts w:ascii="Times New Roman" w:eastAsia="Times New Roman" w:hAnsi="Times New Roman" w:cs="Times New Roman"/>
          <w:sz w:val="26"/>
          <w:szCs w:val="26"/>
        </w:rPr>
        <w:t>собственности ответчика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адресу: </w:t>
      </w:r>
      <w:r>
        <w:rPr>
          <w:rStyle w:val="cat-UserDefinedgrp-88rplc-9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указано выше, в силу требований ст.153 ЖК РФ граждане и организации обязаны </w:t>
      </w:r>
      <w:hyperlink r:id="rId4" w:anchor="/multilink/12138291/paragraph/950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своевременно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полностью вносить плату за жилое помещение и коммунальные услуги.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Обязанность по внесению платы за жилое помещение и коммунальные услуги возникает у </w:t>
      </w:r>
      <w:r>
        <w:rPr>
          <w:rFonts w:ascii="Times New Roman" w:eastAsia="Times New Roman" w:hAnsi="Times New Roman" w:cs="Times New Roman"/>
          <w:sz w:val="26"/>
          <w:szCs w:val="26"/>
        </w:rPr>
        <w:t>собственника помещения с момента возникновения права собственности на такое помещение.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ответчиком не представлено доказательств, что им надлежащим образом исполняются обязательства по оплате оказанных 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обращению с ТКО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ненадлежащим исполнением ответчиком обязательств по оплате коммунальной услуги по обращению с твердыми коммунальными отходами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01.01.2020 по 30.11.2025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образовалась задолженность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914,68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и в порядке п.14 ст.155 ЖК РФ начислены пени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30.09.2023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30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908,21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 судебный приказ по делу №2-</w:t>
      </w:r>
      <w:r>
        <w:rPr>
          <w:rFonts w:ascii="Times New Roman" w:eastAsia="Times New Roman" w:hAnsi="Times New Roman" w:cs="Times New Roman"/>
          <w:sz w:val="26"/>
          <w:szCs w:val="26"/>
        </w:rPr>
        <w:t>3951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-2803/2025 о взыскании с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задолженности по оплате коммунальных услуг по обращению с твердыми коммунальными отходами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914,68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01.01.2020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30.11.2025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пени в размере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766,92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Определением суда от </w:t>
      </w:r>
      <w:r>
        <w:rPr>
          <w:rFonts w:ascii="Times New Roman" w:eastAsia="Times New Roman" w:hAnsi="Times New Roman" w:cs="Times New Roman"/>
          <w:sz w:val="26"/>
          <w:szCs w:val="26"/>
        </w:rPr>
        <w:t>22.12.2025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судебный приказ отменен на основании возражений ответчика.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Учитывая, что ответчиком доказательств внесения платы за коммунальную услугу по обращению с ТКО не представлено, требования истца являются обоснованными.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Расчет задолженности, представленный истцом, судом проверен, ответчиком не опровергнут,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 этом, размер задолженности произведен верно, в соответствии с тарифами, утвержденными </w:t>
      </w:r>
      <w:r>
        <w:rPr>
          <w:rFonts w:ascii="Times New Roman" w:eastAsia="Times New Roman" w:hAnsi="Times New Roman" w:cs="Times New Roman"/>
          <w:sz w:val="26"/>
          <w:szCs w:val="26"/>
        </w:rPr>
        <w:t>Региональной энергетической комиссией.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овод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</w:t>
      </w:r>
      <w:r>
        <w:rPr>
          <w:rFonts w:ascii="Times New Roman" w:eastAsia="Times New Roman" w:hAnsi="Times New Roman" w:cs="Times New Roman"/>
          <w:sz w:val="26"/>
          <w:szCs w:val="26"/>
        </w:rPr>
        <w:t>а о том, что 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собственником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жилого помещения, в 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проживал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него отсутствует обязанность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коммунальной услуги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обращению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твердыми коммунальными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отходами</w:t>
      </w:r>
      <w:r>
        <w:rPr>
          <w:rFonts w:ascii="Times New Roman" w:eastAsia="Times New Roman" w:hAnsi="Times New Roman" w:cs="Times New Roman"/>
          <w:sz w:val="26"/>
          <w:szCs w:val="26"/>
        </w:rPr>
        <w:t>, являются несостоятельными, так как, п</w:t>
      </w:r>
      <w:r>
        <w:rPr>
          <w:rFonts w:ascii="Times New Roman" w:eastAsia="Times New Roman" w:hAnsi="Times New Roman" w:cs="Times New Roman"/>
          <w:sz w:val="26"/>
          <w:szCs w:val="26"/>
        </w:rPr>
        <w:t>равовых оснований, освобождающих собственников жилых помещений от уплаты коммунальных услуг по обращению с твердыми коммунальными услугами по причине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непроживания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жилом помещении, действующим законодательством не предусмотрено.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правовой позиции, изложенной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5" w:anchor="/document/408197041/entry/991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Обзора судебной практики по делам, связанным с обращением с твердыми коммунальными отходами, утв. Президиумом Верховного Суда Российской Федерации 13 декабря 2023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неиспользование собственником принадлежащего ему жилого помещения для постоянного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основанием для перерасчета размера платы за коммунальную услугу по обращению с ТКО.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снования уменьшения размера платы за коммунальные услуги определены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5" w:anchor="/document/12186043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Правилами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предоставления коммунальных услуг собственникам и пользователям помещений в мног</w:t>
      </w:r>
      <w:r>
        <w:rPr>
          <w:rFonts w:ascii="Times New Roman" w:eastAsia="Times New Roman" w:hAnsi="Times New Roman" w:cs="Times New Roman"/>
          <w:sz w:val="26"/>
          <w:szCs w:val="26"/>
        </w:rPr>
        <w:t>оквартирных домах и жилых домов»</w:t>
      </w:r>
      <w:r>
        <w:rPr>
          <w:rFonts w:ascii="Times New Roman" w:eastAsia="Times New Roman" w:hAnsi="Times New Roman" w:cs="Times New Roman"/>
          <w:sz w:val="26"/>
          <w:szCs w:val="26"/>
        </w:rPr>
        <w:t>, утвержденными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5" w:anchor="/document/12186043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Правительства Российской Федерации от 6 мая 2011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№</w:t>
      </w:r>
      <w:r>
        <w:rPr>
          <w:rFonts w:ascii="Times New Roman" w:eastAsia="Times New Roman" w:hAnsi="Times New Roman" w:cs="Times New Roman"/>
          <w:sz w:val="26"/>
          <w:szCs w:val="26"/>
        </w:rPr>
        <w:t>354.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86(1) вышеназванных Правил при временном, то есть более 5 полных календарных дней подряд, отсутствии в жилом помещении потребителя коммунальной услуги по обращению с твердыми коммунальными отходами на основании заявления, указанного в абзаце первом пункта 91 настоящих Правил, и документов, подтверждающих продолжительность периода временного отсутствия потребителя в жилом помещении, осуществляется перерасчет размера платы за указанную услугу в порядке, установленном настоящим разделом.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потребитель не лишен права требовать перерасчета размера платы за отдельные виды коммунальных услуг, в том числе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коммунальной услуги по обращению с твердыми коммунальными отходами, за период временного отсутствия в занимаемом жилом помещении, который носит заявительный характер.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дело не представлено сведений, что ответчик в установленном поря</w:t>
      </w:r>
      <w:r>
        <w:rPr>
          <w:rFonts w:ascii="Times New Roman" w:eastAsia="Times New Roman" w:hAnsi="Times New Roman" w:cs="Times New Roman"/>
          <w:sz w:val="26"/>
          <w:szCs w:val="26"/>
        </w:rPr>
        <w:t>дке обращался с заявлением о уменьшении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платежей в связи с временным отсутствием в жилом </w:t>
      </w:r>
      <w:r>
        <w:rPr>
          <w:rFonts w:ascii="Times New Roman" w:eastAsia="Times New Roman" w:hAnsi="Times New Roman" w:cs="Times New Roman"/>
          <w:sz w:val="26"/>
          <w:szCs w:val="26"/>
        </w:rPr>
        <w:t>помещении</w:t>
      </w:r>
      <w:r>
        <w:rPr>
          <w:rFonts w:ascii="Times New Roman" w:eastAsia="Times New Roman" w:hAnsi="Times New Roman" w:cs="Times New Roman"/>
          <w:sz w:val="26"/>
          <w:szCs w:val="26"/>
        </w:rPr>
        <w:t>, принадлежащем ему на праве собственности.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Вопреки доводам ответчика,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актов об оказании услуг </w:t>
      </w:r>
      <w:r>
        <w:rPr>
          <w:rFonts w:ascii="Times New Roman" w:eastAsia="Times New Roman" w:hAnsi="Times New Roman" w:cs="Times New Roman"/>
          <w:sz w:val="26"/>
          <w:szCs w:val="26"/>
        </w:rPr>
        <w:t>не свидетельствует о неоказании истцом услуг по обращению с ТКО и не является основанием для освобождения собственника от выполнения обязанности по внесению платы за коммунальные услуги по обращению с ТКО.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ст.309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в соответствии с обычаями делового оборота или иными обычно предъявляемыми требованиями.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Учитывая, что ответчиком доказательств внесения оплаты за коммунальную услугу по обращению с ТКО не представлено, требования истца являются обоснованными.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5" w:anchor="/document/12138291/entry/15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ст.155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ЖК РФ плата за жилое помещение и коммунальные услуги вносится ежемесячно до десятого числа месяца, следующего за истекшим месяцем.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ч.14 ст.155 ЖК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несвоевременно и (или) не полностью внесшие плату за жилое помещение и коммунальные услуги, обязаны уплатить кредитору </w:t>
      </w:r>
      <w:hyperlink r:id="rId4" w:anchor="/document/71706202/entry/3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пени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одной трехсотой </w:t>
      </w:r>
      <w:hyperlink r:id="rId4" w:anchor="/document/10180094/entry/2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ставки рефинансирования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rFonts w:ascii="Times New Roman" w:eastAsia="Times New Roman" w:hAnsi="Times New Roman" w:cs="Times New Roman"/>
          <w:sz w:val="26"/>
          <w:szCs w:val="26"/>
        </w:rPr>
        <w:t>стотридцатой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невнесением платы за коммунальную услугу по обращению с твердыми коммунальными отходами в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01.01.2020 по 30.11.2025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ответчику начислены пени в размере 1908,21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30.09.2023 по 30.11.2025, что следует из акта сверки (л.д.9).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заявлено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ходатайство о пр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менении срока исковой давности.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ст.196 ГК РФ </w:t>
      </w:r>
      <w:r>
        <w:rPr>
          <w:rFonts w:ascii="Times New Roman" w:eastAsia="Times New Roman" w:hAnsi="Times New Roman" w:cs="Times New Roman"/>
          <w:sz w:val="26"/>
          <w:szCs w:val="26"/>
        </w:rPr>
        <w:t>общий срок исковой давности составляет три года со дня.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ч.ч.1, 2 ст.199 ГК РФ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требование о защите нарушенного права принимается к рассмотрению судом независимо от истечения срока исковой давности.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Исковая давность применяется судом только по </w:t>
      </w:r>
      <w:hyperlink r:id="rId4" w:anchor="/document/71204098/entry/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заявлению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стороны в споре, сделанному до вынесения судом решения.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Истечение срока исковой давности, о применении которой заявлено стороной в споре, является </w:t>
      </w:r>
      <w:hyperlink r:id="rId4" w:anchor="/document/71204098/entry/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основанием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 вынесению судом решения об отказе в иске.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требований ст.204 ГК РФ срок исковой давности не течет </w:t>
      </w:r>
      <w:hyperlink r:id="rId4" w:anchor="/document/71204098/entry/17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со дня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оставлении судом иска без рассмотрения течение срока исковой давности, начавшееся до предъявления иска, продолжается в общем порядке, если иное не вытекает из оснований, по которым осуществление судебной защиты права прекращено.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после оставления иска без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неистекшая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 срока исковой давности составляет менее шести месяцев, она удлиняется до шести месяцев, за исключением случаев, если основанием оставления иска без рассмотрения послужили действия (бездействие) истца.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п.п.17</w:t>
      </w:r>
      <w:r>
        <w:rPr>
          <w:rFonts w:ascii="Times New Roman" w:eastAsia="Times New Roman" w:hAnsi="Times New Roman" w:cs="Times New Roman"/>
          <w:sz w:val="26"/>
          <w:szCs w:val="26"/>
        </w:rPr>
        <w:t>,1</w:t>
      </w:r>
      <w:r>
        <w:rPr>
          <w:rFonts w:ascii="Times New Roman" w:eastAsia="Times New Roman" w:hAnsi="Times New Roman" w:cs="Times New Roman"/>
          <w:sz w:val="26"/>
          <w:szCs w:val="26"/>
        </w:rPr>
        <w:t>8 постановления Пленума Верховного суда РФ от 29 сентября 2015 г. №43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некоторых вопросах, связанных с применением норм Гражданского кодекса Российской Федерации об исковой давности» 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64072/entry/204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 1 статьи 204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смыслу </w:t>
      </w:r>
      <w:hyperlink r:id="rId4" w:anchor="/document/10164072/entry/2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 204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8809/entry/220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абзацем вторым статьи 220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ГПК РФ, </w:t>
      </w:r>
      <w:hyperlink r:id="rId4" w:anchor="/document/12127526/entry/15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пунктом 1 части 1 статьи 150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АПК РФ, с момента вступления в силу соответствующего определения суда либо отмены судебного приказа.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>
        <w:rPr>
          <w:rFonts w:ascii="Times New Roman" w:eastAsia="Times New Roman" w:hAnsi="Times New Roman" w:cs="Times New Roman"/>
          <w:sz w:val="26"/>
          <w:szCs w:val="26"/>
        </w:rPr>
        <w:t>неистекшая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 срока исковой давности составляет менее шести месяцев, она удлиняется до шести месяцев (</w:t>
      </w:r>
      <w:hyperlink r:id="rId4" w:anchor="/document/10164072/entry/600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 1 статьи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64072/entry/2043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 3 статьи 204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ГК РФ).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Настоящий иск подан в суд </w:t>
      </w:r>
      <w:r>
        <w:rPr>
          <w:rFonts w:ascii="Times New Roman" w:eastAsia="Times New Roman" w:hAnsi="Times New Roman" w:cs="Times New Roman"/>
          <w:sz w:val="26"/>
          <w:szCs w:val="26"/>
        </w:rPr>
        <w:t>10.04.2026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чем свидетельствует </w:t>
      </w:r>
      <w:r>
        <w:rPr>
          <w:rFonts w:ascii="Times New Roman" w:eastAsia="Times New Roman" w:hAnsi="Times New Roman" w:cs="Times New Roman"/>
          <w:sz w:val="26"/>
          <w:szCs w:val="26"/>
        </w:rPr>
        <w:t>штемпель на почтовом конверте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учетом периода производства по заявлению о вынесении судебного приказа с </w:t>
      </w:r>
      <w:r>
        <w:rPr>
          <w:rFonts w:ascii="Times New Roman" w:eastAsia="Times New Roman" w:hAnsi="Times New Roman" w:cs="Times New Roman"/>
          <w:sz w:val="26"/>
          <w:szCs w:val="26"/>
        </w:rPr>
        <w:t>03.12.2025 по 22.12.2025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 исковой давности пропущен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01.01.2020 по 31.10.2022.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ледовательно,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01.11.202</w:t>
      </w:r>
      <w:r>
        <w:rPr>
          <w:rFonts w:ascii="Times New Roman" w:eastAsia="Times New Roman" w:hAnsi="Times New Roman" w:cs="Times New Roman"/>
          <w:sz w:val="26"/>
          <w:szCs w:val="26"/>
        </w:rPr>
        <w:t>2 по 3</w:t>
      </w:r>
      <w:r>
        <w:rPr>
          <w:rFonts w:ascii="Times New Roman" w:eastAsia="Times New Roman" w:hAnsi="Times New Roman" w:cs="Times New Roman"/>
          <w:sz w:val="26"/>
          <w:szCs w:val="26"/>
        </w:rPr>
        <w:t>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 исковой давности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истек,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умма задолженности за указанный период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378,33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ответчика в пользу истца подлежит взысканию задолженность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коммунальной услуги по обращению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ТКО за период с 01.11.2022 по 3</w:t>
      </w:r>
      <w:r>
        <w:rPr>
          <w:rFonts w:ascii="Times New Roman" w:eastAsia="Times New Roman" w:hAnsi="Times New Roman" w:cs="Times New Roman"/>
          <w:sz w:val="26"/>
          <w:szCs w:val="26"/>
        </w:rPr>
        <w:t>0.11.2025 в размере 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378,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33 рублей, пени за </w:t>
      </w:r>
      <w:r>
        <w:rPr>
          <w:rFonts w:ascii="Times New Roman" w:eastAsia="Times New Roman" w:hAnsi="Times New Roman" w:cs="Times New Roman"/>
          <w:sz w:val="26"/>
          <w:szCs w:val="26"/>
        </w:rPr>
        <w:t>период с 30.09.2023 по 30.11.2025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1908,21 рублей.</w:t>
      </w:r>
    </w:p>
    <w:p>
      <w:pPr>
        <w:spacing w:before="0" w:after="0"/>
        <w:ind w:right="2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ч.1 ст.88 ГПК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расходы состоят из </w:t>
      </w:r>
      <w:hyperlink r:id="rId4" w:anchor="/document/10900200/entry/20025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государственной пошлины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4" w:anchor="/document/12128809/entry/9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издержек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связанных с рассмотрением дела.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установлено и подтверждается платежными поручениями №</w:t>
      </w:r>
      <w:r>
        <w:rPr>
          <w:rFonts w:ascii="Times New Roman" w:eastAsia="Times New Roman" w:hAnsi="Times New Roman" w:cs="Times New Roman"/>
          <w:sz w:val="26"/>
          <w:szCs w:val="26"/>
        </w:rPr>
        <w:t>3730 от 01.12.2025 и №1306 от 10.04.2026</w:t>
      </w:r>
      <w:r>
        <w:rPr>
          <w:rFonts w:ascii="Times New Roman" w:eastAsia="Times New Roman" w:hAnsi="Times New Roman" w:cs="Times New Roman"/>
          <w:sz w:val="26"/>
          <w:szCs w:val="26"/>
        </w:rPr>
        <w:t>, что истцом при обращении с настоящим иском в суд понесены расходы по уплате государственной пошлины в размере 4000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5" w:anchor="/document/12128809/entry/98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ст.98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Ввиду того, что решение суда по настоящему делу состоялось в пользу истца, суд взыскивает с ответчика в пользу истца расходы по оплате государственной пошлины в размере 4000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ст.ст.194-199 ГПК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частично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лице филиала «Сочинский» (ИНН: 2308124997) к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Андрею Михайловичу (</w:t>
      </w:r>
      <w:r>
        <w:rPr>
          <w:rStyle w:val="cat-PassportDatagrp-84rplc-14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89rplc-1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задолженности по оплате коммунальной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Михайловича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>» в лице филиала «Сочинский»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денежные средства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286,54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в том числе: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378,33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руб.- задолженность </w:t>
      </w:r>
      <w:r>
        <w:rPr>
          <w:rFonts w:ascii="Times New Roman" w:eastAsia="Times New Roman" w:hAnsi="Times New Roman" w:cs="Times New Roman"/>
          <w:sz w:val="26"/>
          <w:szCs w:val="26"/>
        </w:rPr>
        <w:t>по основному долгу за период с 01.11.2022 по 20.11.2025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908,21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руб.- </w:t>
      </w:r>
      <w:r>
        <w:rPr>
          <w:rFonts w:ascii="Times New Roman" w:eastAsia="Times New Roman" w:hAnsi="Times New Roman" w:cs="Times New Roman"/>
          <w:sz w:val="26"/>
          <w:szCs w:val="26"/>
        </w:rPr>
        <w:t>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 ч.14 ст.155 ЖК РФ за период с 30.09.2023 по 30.11.2025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Михайловича в пользу 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>» в лице филиала «Сочинский»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расходы по уплате государственной пошлины в размере 4000 руб.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составлено 05.06.2026 по ходатайству ответчика.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88rplc-21">
    <w:name w:val="cat-UserDefined grp-88 rplc-21"/>
    <w:basedOn w:val="DefaultParagraphFont"/>
  </w:style>
  <w:style w:type="character" w:customStyle="1" w:styleId="cat-UserDefinedgrp-88rplc-94">
    <w:name w:val="cat-UserDefined grp-88 rplc-94"/>
    <w:basedOn w:val="DefaultParagraphFont"/>
  </w:style>
  <w:style w:type="character" w:customStyle="1" w:styleId="cat-UserDefinedgrp-88rplc-97">
    <w:name w:val="cat-UserDefined grp-88 rplc-97"/>
    <w:basedOn w:val="DefaultParagraphFont"/>
  </w:style>
  <w:style w:type="character" w:customStyle="1" w:styleId="cat-PassportDatagrp-84rplc-141">
    <w:name w:val="cat-PassportData grp-84 rplc-141"/>
    <w:basedOn w:val="DefaultParagraphFont"/>
  </w:style>
  <w:style w:type="character" w:customStyle="1" w:styleId="cat-UserDefinedgrp-89rplc-142">
    <w:name w:val="cat-UserDefined grp-89 rplc-1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